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E0380">
      <w:pPr>
        <w:jc w:val="center"/>
        <w:rPr>
          <w:rFonts w:hint="eastAsia"/>
          <w:b/>
          <w:bCs/>
          <w:sz w:val="44"/>
          <w:szCs w:val="44"/>
          <w:lang w:val="en-US"/>
        </w:rPr>
      </w:pPr>
      <w:r>
        <w:rPr>
          <w:rFonts w:hint="eastAsia"/>
          <w:b/>
          <w:bCs/>
          <w:sz w:val="44"/>
          <w:szCs w:val="44"/>
          <w:lang w:val="en-US"/>
        </w:rPr>
        <w:t>摘要格式</w:t>
      </w:r>
    </w:p>
    <w:p w14:paraId="517908A3">
      <w:r>
        <w:rPr>
          <w:rFonts w:hint="eastAsia"/>
          <w:b/>
          <w:bCs/>
        </w:rPr>
        <w:t>标题：</w:t>
      </w:r>
      <w:r>
        <w:rPr>
          <w:rFonts w:hint="eastAsia"/>
        </w:rPr>
        <w:t xml:space="preserve"> 采用 14 号 Arial 粗体，居中对齐（句子大小写格式）。</w:t>
      </w:r>
    </w:p>
    <w:p w14:paraId="2B4D2577">
      <w:r>
        <w:rPr>
          <w:rFonts w:hint="eastAsia"/>
          <w:b/>
          <w:bCs/>
        </w:rPr>
        <w:t>报告人姓名：</w:t>
      </w:r>
      <w:r>
        <w:rPr>
          <w:rFonts w:hint="eastAsia"/>
        </w:rPr>
        <w:t xml:space="preserve"> 采用 12 号 Arial 字体，居中对齐。作者姓名书写：名在前，姓在后。 用上标数字（¹、²）标注所属单位。 报告作者姓名加下划线。 在作者列表中，通讯联系人姓名后加星号（*）标记。</w:t>
      </w:r>
    </w:p>
    <w:p w14:paraId="49A30E50">
      <w:r>
        <w:rPr>
          <w:rFonts w:hint="eastAsia"/>
          <w:b/>
          <w:bCs/>
        </w:rPr>
        <w:t>单位信息：</w:t>
      </w:r>
      <w:r>
        <w:rPr>
          <w:rFonts w:hint="eastAsia"/>
        </w:rPr>
        <w:t xml:space="preserve"> 采用 11 号 Arial 字体，居中对齐。包含院系、学部、院校名称、城市、国家。</w:t>
      </w:r>
    </w:p>
    <w:p w14:paraId="0F68E2DD">
      <w:r>
        <w:rPr>
          <w:rFonts w:hint="eastAsia"/>
          <w:b/>
          <w:bCs/>
        </w:rPr>
        <w:t>联系方式：</w:t>
      </w:r>
      <w:r>
        <w:rPr>
          <w:rFonts w:hint="eastAsia"/>
        </w:rPr>
        <w:t xml:space="preserve"> 采用 11 号 Arial 字体，居中对齐。标注带星号（*）通讯联系人的电子邮箱。</w:t>
      </w:r>
    </w:p>
    <w:p w14:paraId="45D3FCEB">
      <w:r>
        <w:rPr>
          <w:rFonts w:hint="eastAsia"/>
          <w:b/>
          <w:bCs/>
        </w:rPr>
        <w:t>摘要：</w:t>
      </w:r>
      <w:r>
        <w:rPr>
          <w:rFonts w:hint="eastAsia"/>
        </w:rPr>
        <w:t xml:space="preserve"> 采用 12 号 Arial 字体，左对齐，字数不超过 250 词。 不可插入图、表。</w:t>
      </w:r>
    </w:p>
    <w:p w14:paraId="709AABE5">
      <w:pPr>
        <w:jc w:val="both"/>
        <w:rPr>
          <w:b/>
          <w:bCs/>
          <w:sz w:val="28"/>
          <w:szCs w:val="28"/>
          <w:lang w:val="en-US"/>
        </w:rPr>
      </w:pPr>
      <w:r>
        <w:rPr>
          <w:rFonts w:hint="eastAsia"/>
          <w:b/>
          <w:bCs/>
          <w:sz w:val="28"/>
          <w:szCs w:val="28"/>
          <w:lang w:val="en-US"/>
        </w:rPr>
        <w:t>示例：</w:t>
      </w:r>
    </w:p>
    <w:p w14:paraId="78C158F0">
      <w:pPr>
        <w:jc w:val="center"/>
        <w:rPr>
          <w:rFonts w:ascii="Arial" w:hAnsi="Arial" w:cs="Arial"/>
          <w:b/>
          <w:bCs/>
          <w:color w:val="2A2A2A"/>
          <w:sz w:val="28"/>
          <w:szCs w:val="28"/>
          <w:shd w:val="clear" w:color="auto" w:fill="FFFFFF"/>
        </w:rPr>
      </w:pP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</w:rPr>
        <w:t>Mining genomic regions associated with stomatal traits and their</w:t>
      </w: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</w:rPr>
        <w:t>candidate genes in bread wheat through genome</w:t>
      </w: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  <w:lang w:val="en-US"/>
        </w:rPr>
        <w:t>-</w:t>
      </w: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</w:rPr>
        <w:t>wide</w:t>
      </w: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</w:rPr>
        <w:t>association</w:t>
      </w: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hint="eastAsia" w:ascii="Arial" w:hAnsi="Arial" w:cs="Arial"/>
          <w:b/>
          <w:bCs/>
          <w:color w:val="2A2A2A"/>
          <w:sz w:val="28"/>
          <w:szCs w:val="28"/>
          <w:shd w:val="clear" w:color="auto" w:fill="FFFFFF"/>
        </w:rPr>
        <w:t>study (GWAS)</w:t>
      </w:r>
    </w:p>
    <w:p w14:paraId="2C7DECFE">
      <w:pPr>
        <w:jc w:val="center"/>
        <w:rPr>
          <w:rFonts w:ascii="Arial" w:hAnsi="Arial" w:cs="Arial"/>
          <w:b/>
          <w:bCs/>
          <w:color w:val="2A2A2A"/>
          <w:sz w:val="28"/>
          <w:szCs w:val="28"/>
          <w:shd w:val="clear" w:color="auto" w:fill="FFFFFF"/>
        </w:rPr>
      </w:pPr>
    </w:p>
    <w:p w14:paraId="75F9A536">
      <w:pPr>
        <w:jc w:val="center"/>
        <w:rPr>
          <w:rFonts w:ascii="Arial" w:hAnsi="Arial" w:cs="Arial"/>
          <w:szCs w:val="32"/>
        </w:rPr>
      </w:pPr>
      <w:r>
        <w:rPr>
          <w:rFonts w:hint="eastAsia" w:ascii="Arial" w:hAnsi="Arial" w:cs="Arial"/>
          <w:szCs w:val="32"/>
          <w:u w:val="single"/>
        </w:rPr>
        <w:t>Dezheng Liu</w:t>
      </w:r>
      <w:r>
        <w:rPr>
          <w:rFonts w:ascii="Arial" w:hAnsi="Arial" w:cs="Arial"/>
          <w:szCs w:val="32"/>
          <w:u w:val="single"/>
          <w:vertAlign w:val="superscript"/>
        </w:rPr>
        <w:t>1</w:t>
      </w:r>
      <w:r>
        <w:rPr>
          <w:rFonts w:ascii="Arial" w:hAnsi="Arial" w:cs="Arial"/>
          <w:szCs w:val="32"/>
        </w:rPr>
        <w:t xml:space="preserve">, </w:t>
      </w:r>
      <w:r>
        <w:rPr>
          <w:rFonts w:hint="eastAsia" w:ascii="Arial" w:hAnsi="Arial" w:cs="Arial"/>
          <w:szCs w:val="32"/>
        </w:rPr>
        <w:t>Shan Lu</w:t>
      </w:r>
      <w:r>
        <w:rPr>
          <w:rFonts w:hint="eastAsia" w:ascii="Arial" w:hAnsi="Arial" w:cs="Arial"/>
          <w:szCs w:val="32"/>
          <w:vertAlign w:val="superscript"/>
        </w:rPr>
        <w:t>1</w:t>
      </w:r>
      <w:r>
        <w:rPr>
          <w:rFonts w:hint="eastAsia" w:ascii="Arial" w:hAnsi="Arial" w:cs="Arial"/>
          <w:szCs w:val="32"/>
          <w:lang w:val="en-US"/>
        </w:rPr>
        <w:t xml:space="preserve">, </w:t>
      </w:r>
      <w:r>
        <w:rPr>
          <w:rFonts w:hint="eastAsia" w:ascii="Arial" w:hAnsi="Arial" w:cs="Arial"/>
          <w:szCs w:val="32"/>
        </w:rPr>
        <w:t>Renmei Tian</w:t>
      </w:r>
      <w:r>
        <w:rPr>
          <w:rFonts w:hint="eastAsia" w:ascii="Arial" w:hAnsi="Arial" w:cs="Arial"/>
          <w:szCs w:val="32"/>
          <w:vertAlign w:val="superscript"/>
        </w:rPr>
        <w:t>1</w:t>
      </w:r>
      <w:r>
        <w:rPr>
          <w:rFonts w:hint="eastAsia" w:ascii="Arial" w:hAnsi="Arial" w:cs="Arial"/>
          <w:szCs w:val="32"/>
          <w:lang w:val="en-US"/>
        </w:rPr>
        <w:t xml:space="preserve">, </w:t>
      </w:r>
      <w:r>
        <w:rPr>
          <w:rFonts w:hint="eastAsia" w:ascii="Arial" w:hAnsi="Arial" w:cs="Arial"/>
          <w:szCs w:val="32"/>
        </w:rPr>
        <w:t>Xubin Zhang</w:t>
      </w:r>
      <w:r>
        <w:rPr>
          <w:rFonts w:hint="eastAsia" w:ascii="Arial" w:hAnsi="Arial" w:cs="Arial"/>
          <w:szCs w:val="32"/>
          <w:vertAlign w:val="superscript"/>
        </w:rPr>
        <w:t>1</w:t>
      </w:r>
      <w:r>
        <w:rPr>
          <w:rFonts w:hint="eastAsia" w:ascii="Arial" w:hAnsi="Arial" w:cs="Arial"/>
          <w:szCs w:val="32"/>
          <w:lang w:val="en-US"/>
        </w:rPr>
        <w:t xml:space="preserve">, </w:t>
      </w:r>
      <w:r>
        <w:rPr>
          <w:rFonts w:hint="eastAsia" w:ascii="Arial" w:hAnsi="Arial" w:cs="Arial"/>
          <w:szCs w:val="32"/>
        </w:rPr>
        <w:t>Qingfeng Dong</w:t>
      </w:r>
      <w:r>
        <w:rPr>
          <w:rFonts w:hint="eastAsia" w:ascii="Arial" w:hAnsi="Arial" w:cs="Arial"/>
          <w:szCs w:val="32"/>
          <w:vertAlign w:val="superscript"/>
        </w:rPr>
        <w:t>1</w:t>
      </w:r>
      <w:r>
        <w:rPr>
          <w:rFonts w:hint="eastAsia" w:ascii="Arial" w:hAnsi="Arial" w:cs="Arial"/>
          <w:szCs w:val="32"/>
          <w:lang w:val="en-US"/>
        </w:rPr>
        <w:t xml:space="preserve">, </w:t>
      </w:r>
      <w:r>
        <w:rPr>
          <w:rFonts w:hint="eastAsia" w:ascii="Arial" w:hAnsi="Arial" w:cs="Arial"/>
          <w:szCs w:val="32"/>
        </w:rPr>
        <w:t>Hao Ren</w:t>
      </w:r>
      <w:r>
        <w:rPr>
          <w:rFonts w:hint="eastAsia" w:ascii="Arial" w:hAnsi="Arial" w:cs="Arial"/>
          <w:szCs w:val="32"/>
          <w:vertAlign w:val="superscript"/>
        </w:rPr>
        <w:t>1</w:t>
      </w:r>
      <w:r>
        <w:rPr>
          <w:rFonts w:hint="eastAsia" w:ascii="Arial" w:hAnsi="Arial" w:cs="Arial"/>
          <w:szCs w:val="32"/>
          <w:lang w:val="en-US"/>
        </w:rPr>
        <w:t xml:space="preserve">, </w:t>
      </w:r>
      <w:r>
        <w:rPr>
          <w:rFonts w:hint="eastAsia" w:ascii="Arial" w:hAnsi="Arial" w:cs="Arial"/>
          <w:szCs w:val="32"/>
        </w:rPr>
        <w:t>Liang Chen</w:t>
      </w:r>
      <w:r>
        <w:rPr>
          <w:rFonts w:hint="eastAsia" w:ascii="Arial" w:hAnsi="Arial" w:cs="Arial"/>
          <w:szCs w:val="32"/>
          <w:vertAlign w:val="superscript"/>
        </w:rPr>
        <w:t>1</w:t>
      </w:r>
      <w:r>
        <w:rPr>
          <w:rFonts w:hint="eastAsia" w:ascii="Arial" w:hAnsi="Arial" w:cs="Arial"/>
          <w:szCs w:val="32"/>
          <w:lang w:val="en-US"/>
        </w:rPr>
        <w:t xml:space="preserve">, </w:t>
      </w:r>
      <w:r>
        <w:rPr>
          <w:rFonts w:hint="eastAsia" w:ascii="Arial" w:hAnsi="Arial" w:cs="Arial"/>
          <w:szCs w:val="32"/>
        </w:rPr>
        <w:t>Yin</w:t>
      </w:r>
      <w:r>
        <w:rPr>
          <w:rFonts w:hint="eastAsia" w:ascii="Arial" w:hAnsi="Arial" w:cs="Arial"/>
          <w:szCs w:val="32"/>
          <w:lang w:val="en-US"/>
        </w:rPr>
        <w:t>-</w:t>
      </w:r>
      <w:r>
        <w:rPr>
          <w:rFonts w:hint="eastAsia" w:ascii="Arial" w:hAnsi="Arial" w:cs="Arial"/>
          <w:szCs w:val="32"/>
        </w:rPr>
        <w:t>Gang Hu</w:t>
      </w:r>
      <w:r>
        <w:rPr>
          <w:rFonts w:ascii="Arial" w:hAnsi="Arial" w:cs="Arial"/>
          <w:szCs w:val="32"/>
          <w:vertAlign w:val="superscript"/>
        </w:rPr>
        <w:t>1,2,</w:t>
      </w:r>
      <w:r>
        <w:rPr>
          <w:rFonts w:ascii="Arial" w:hAnsi="Arial" w:cs="Arial"/>
          <w:szCs w:val="32"/>
        </w:rPr>
        <w:t>*</w:t>
      </w:r>
    </w:p>
    <w:p w14:paraId="0543F9C3">
      <w:pPr>
        <w:jc w:val="center"/>
        <w:rPr>
          <w:rFonts w:ascii="Arial" w:hAnsi="Arial" w:cs="Arial"/>
          <w:szCs w:val="32"/>
        </w:rPr>
      </w:pPr>
    </w:p>
    <w:p w14:paraId="1BD16C1C">
      <w:pPr>
        <w:adjustRightInd w:val="0"/>
        <w:snapToGrid w:val="0"/>
        <w:jc w:val="center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sz w:val="22"/>
          <w:szCs w:val="28"/>
          <w:vertAlign w:val="superscript"/>
        </w:rPr>
        <w:t>1</w:t>
      </w:r>
      <w:r>
        <w:rPr>
          <w:rFonts w:hint="eastAsia" w:ascii="Arial" w:hAnsi="Arial" w:cs="Arial"/>
          <w:sz w:val="22"/>
          <w:szCs w:val="28"/>
          <w:vertAlign w:val="superscript"/>
          <w:lang w:val="en-US"/>
        </w:rPr>
        <w:t xml:space="preserve"> </w:t>
      </w:r>
      <w:r>
        <w:rPr>
          <w:rFonts w:hint="eastAsia" w:ascii="Arial" w:hAnsi="Arial" w:cs="Arial"/>
          <w:sz w:val="22"/>
          <w:szCs w:val="28"/>
        </w:rPr>
        <w:t>State Key Laboratory of Crop Stress Resistance</w:t>
      </w:r>
      <w:r>
        <w:rPr>
          <w:rFonts w:hint="eastAsia" w:ascii="Arial" w:hAnsi="Arial" w:cs="Arial"/>
          <w:sz w:val="22"/>
          <w:szCs w:val="28"/>
          <w:lang w:val="en-US"/>
        </w:rPr>
        <w:t xml:space="preserve"> </w:t>
      </w:r>
      <w:r>
        <w:rPr>
          <w:rFonts w:hint="eastAsia" w:ascii="Arial" w:hAnsi="Arial" w:cs="Arial"/>
          <w:sz w:val="22"/>
          <w:szCs w:val="28"/>
        </w:rPr>
        <w:t>and High</w:t>
      </w:r>
      <w:r>
        <w:rPr>
          <w:rFonts w:hint="eastAsia" w:ascii="Arial" w:hAnsi="Arial" w:cs="Arial"/>
          <w:sz w:val="22"/>
          <w:szCs w:val="28"/>
          <w:lang w:val="en-US"/>
        </w:rPr>
        <w:t>-</w:t>
      </w:r>
      <w:r>
        <w:rPr>
          <w:rFonts w:hint="eastAsia" w:ascii="Arial" w:hAnsi="Arial" w:cs="Arial"/>
          <w:sz w:val="22"/>
          <w:szCs w:val="28"/>
        </w:rPr>
        <w:t>Efficiency Production and College of Agronomy,</w:t>
      </w:r>
      <w:r>
        <w:rPr>
          <w:rFonts w:hint="eastAsia" w:ascii="Arial" w:hAnsi="Arial" w:cs="Arial"/>
          <w:sz w:val="22"/>
          <w:szCs w:val="28"/>
          <w:lang w:val="en-US"/>
        </w:rPr>
        <w:t xml:space="preserve"> </w:t>
      </w:r>
      <w:r>
        <w:rPr>
          <w:rFonts w:hint="eastAsia" w:ascii="Arial" w:hAnsi="Arial" w:cs="Arial"/>
          <w:sz w:val="22"/>
          <w:szCs w:val="28"/>
        </w:rPr>
        <w:t>Northwest A&amp;F University, Yangling, Shaanxi, China</w:t>
      </w:r>
    </w:p>
    <w:p w14:paraId="4C2D1F79">
      <w:pPr>
        <w:adjustRightInd w:val="0"/>
        <w:snapToGrid w:val="0"/>
        <w:jc w:val="center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sz w:val="22"/>
          <w:szCs w:val="28"/>
          <w:vertAlign w:val="superscript"/>
        </w:rPr>
        <w:t xml:space="preserve">2 </w:t>
      </w:r>
      <w:r>
        <w:rPr>
          <w:rFonts w:hint="eastAsia" w:ascii="Arial" w:hAnsi="Arial" w:cs="Arial"/>
          <w:sz w:val="22"/>
          <w:szCs w:val="28"/>
        </w:rPr>
        <w:t>Institute of Water Saving Agriculture in Arid Regions</w:t>
      </w:r>
      <w:r>
        <w:rPr>
          <w:rFonts w:hint="eastAsia" w:ascii="Arial" w:hAnsi="Arial" w:cs="Arial"/>
          <w:sz w:val="22"/>
          <w:szCs w:val="28"/>
          <w:lang w:val="en-US"/>
        </w:rPr>
        <w:t xml:space="preserve"> </w:t>
      </w:r>
      <w:r>
        <w:rPr>
          <w:rFonts w:hint="eastAsia" w:ascii="Arial" w:hAnsi="Arial" w:cs="Arial"/>
          <w:sz w:val="22"/>
          <w:szCs w:val="28"/>
        </w:rPr>
        <w:t>of China, Northwest A&amp;F</w:t>
      </w:r>
      <w:r>
        <w:rPr>
          <w:rFonts w:hint="eastAsia" w:ascii="Arial" w:hAnsi="Arial" w:cs="Arial"/>
          <w:sz w:val="22"/>
          <w:szCs w:val="28"/>
          <w:lang w:val="en-US"/>
        </w:rPr>
        <w:t xml:space="preserve"> </w:t>
      </w:r>
      <w:r>
        <w:rPr>
          <w:rFonts w:hint="eastAsia" w:ascii="Arial" w:hAnsi="Arial" w:cs="Arial"/>
          <w:sz w:val="22"/>
          <w:szCs w:val="28"/>
        </w:rPr>
        <w:t>University, Yangling, Shaanxi,</w:t>
      </w:r>
      <w:r>
        <w:rPr>
          <w:rFonts w:hint="eastAsia" w:ascii="Arial" w:hAnsi="Arial" w:cs="Arial"/>
          <w:sz w:val="22"/>
          <w:szCs w:val="28"/>
          <w:lang w:val="en-US"/>
        </w:rPr>
        <w:t xml:space="preserve"> </w:t>
      </w:r>
      <w:r>
        <w:rPr>
          <w:rFonts w:hint="eastAsia" w:ascii="Arial" w:hAnsi="Arial" w:cs="Arial"/>
          <w:sz w:val="22"/>
          <w:szCs w:val="28"/>
        </w:rPr>
        <w:t>China</w:t>
      </w:r>
    </w:p>
    <w:p w14:paraId="7A1D52B9">
      <w:pPr>
        <w:adjustRightInd w:val="0"/>
        <w:snapToGrid w:val="0"/>
        <w:jc w:val="center"/>
        <w:rPr>
          <w:rFonts w:ascii="Arial" w:hAnsi="Arial" w:cs="Arial"/>
          <w:sz w:val="22"/>
          <w:szCs w:val="28"/>
        </w:rPr>
      </w:pPr>
      <w:r>
        <w:rPr>
          <w:rFonts w:ascii="Arial" w:hAnsi="Arial" w:cs="Arial"/>
          <w:sz w:val="22"/>
          <w:szCs w:val="28"/>
        </w:rPr>
        <w:t xml:space="preserve">*Contact person: </w:t>
      </w:r>
      <w:r>
        <w:rPr>
          <w:rFonts w:hint="eastAsia" w:ascii="Arial" w:hAnsi="Arial" w:cs="Arial"/>
          <w:sz w:val="22"/>
          <w:szCs w:val="28"/>
        </w:rPr>
        <w:t>huyingang@nwsuaf.edu.cn</w:t>
      </w:r>
    </w:p>
    <w:p w14:paraId="51FB8761">
      <w:pPr>
        <w:rPr>
          <w:rFonts w:ascii="Arial" w:hAnsi="Arial" w:cs="Arial"/>
          <w:sz w:val="28"/>
          <w:szCs w:val="36"/>
        </w:rPr>
      </w:pPr>
    </w:p>
    <w:p w14:paraId="39857DF6">
      <w:pPr>
        <w:rPr>
          <w:rFonts w:ascii="Arial" w:hAnsi="Arial" w:cs="Arial"/>
          <w:szCs w:val="32"/>
        </w:rPr>
      </w:pPr>
      <w:r>
        <w:rPr>
          <w:rFonts w:ascii="Arial" w:hAnsi="Arial" w:cs="Arial"/>
          <w:szCs w:val="32"/>
        </w:rPr>
        <w:t>Abstract</w:t>
      </w:r>
    </w:p>
    <w:p w14:paraId="59186F65">
      <w:pPr>
        <w:adjustRightInd w:val="0"/>
        <w:snapToGrid w:val="0"/>
        <w:jc w:val="both"/>
        <w:rPr>
          <w:rFonts w:ascii="Arial" w:hAnsi="Arial" w:cs="Arial"/>
          <w:szCs w:val="32"/>
        </w:rPr>
      </w:pPr>
      <w:r>
        <w:rPr>
          <w:rFonts w:hint="eastAsia" w:ascii="Arial" w:hAnsi="Arial" w:cs="Arial"/>
          <w:szCs w:val="32"/>
        </w:rPr>
        <w:t>Stomata are a common feature of the leaf surface of plants and serve as vital conduits for the exchange of gases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(primarily CO</w:t>
      </w:r>
      <w:r>
        <w:rPr>
          <w:rFonts w:hint="eastAsia" w:ascii="Arial" w:hAnsi="Arial" w:cs="Arial"/>
          <w:szCs w:val="32"/>
          <w:vertAlign w:val="subscript"/>
          <w:lang w:val="en-US"/>
        </w:rPr>
        <w:t xml:space="preserve">2 </w:t>
      </w:r>
      <w:r>
        <w:rPr>
          <w:rFonts w:hint="eastAsia" w:ascii="Arial" w:hAnsi="Arial" w:cs="Arial"/>
          <w:szCs w:val="32"/>
        </w:rPr>
        <w:t>and water vapor) between plants and the external environment. In this study, a comprehensive genome analysis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was conducted by integrating genome-wide association study (GWAS) and genome prediction to identify the genomic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regions and candidate genes of stomatal traits associated with drought resistance and water-saving properties in a panel of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184 diverse bread wheat genotypes. There were significant variations in stomatal traits in the wheat panel across different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environmental conditions. GWAS was conducted with the genotypic data from the wheat 660 K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single-nucleotide polymorphism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(SNP) chip, and the stomatal traits conducted across three environments during two growing seasons. The final GWAS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identified 112 candidate QTLs that exhibited at least two significant marker-trait associations. Subsequent analysis identified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53 key candidate genes, including 13 bHLH transcription factor, 2 MADS-box transcription factors, and 4 mitogen-activated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protein kinase genes, which may be strongly associated with stomatal traits. The application of Bayesian ridge regression for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genomic prediction yielded an accuracy rate exceeding 60% for all four stomatal traits in both SNP matrices, with stomatal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width achieving a rate in excess of 70%. Additionally, three Kompetitive allele-specific PCR markers were developed and</w:t>
      </w:r>
      <w:r>
        <w:rPr>
          <w:rFonts w:hint="eastAsia" w:ascii="Arial" w:hAnsi="Arial" w:cs="Arial"/>
          <w:szCs w:val="32"/>
          <w:lang w:val="en-US" w:eastAsia="zh-CN"/>
        </w:rPr>
        <w:t xml:space="preserve"> </w:t>
      </w:r>
      <w:r>
        <w:rPr>
          <w:rFonts w:hint="eastAsia" w:ascii="Arial" w:hAnsi="Arial" w:cs="Arial"/>
          <w:szCs w:val="32"/>
        </w:rPr>
        <w:t>validated, representing a significant advancement in marker-assisted prediction. Overall, these results will contribute to a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more comprehensive understanding of wheat stomatal traits and provide a valuable reference for germplasm screening and</w:t>
      </w:r>
      <w:r>
        <w:rPr>
          <w:rFonts w:hint="eastAsia" w:ascii="Arial" w:hAnsi="Arial" w:cs="Arial"/>
          <w:szCs w:val="32"/>
          <w:lang w:val="en-US"/>
        </w:rPr>
        <w:t xml:space="preserve"> </w:t>
      </w:r>
      <w:r>
        <w:rPr>
          <w:rFonts w:hint="eastAsia" w:ascii="Arial" w:hAnsi="Arial" w:cs="Arial"/>
          <w:szCs w:val="32"/>
        </w:rPr>
        <w:t>innovation in wheat germplasm with novel stomatal traits.</w:t>
      </w:r>
    </w:p>
    <w:p w14:paraId="6F3F9340">
      <w:pPr>
        <w:jc w:val="center"/>
        <w:rPr>
          <w:rFonts w:hint="eastAsia"/>
          <w:b/>
          <w:bCs/>
          <w:sz w:val="44"/>
          <w:szCs w:val="44"/>
          <w:lang w:val="en-US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/>
        </w:rPr>
        <w:t>墙报格式</w:t>
      </w:r>
    </w:p>
    <w:p w14:paraId="7500F5AF">
      <w:pPr>
        <w:pStyle w:val="2"/>
        <w:ind w:firstLine="480" w:firstLineChars="200"/>
        <w:rPr>
          <w:rFonts w:ascii="Arial" w:hAnsi="Arial" w:cs="Arial"/>
          <w:szCs w:val="32"/>
        </w:rPr>
      </w:pPr>
      <w:r>
        <w:rPr>
          <w:rFonts w:hint="eastAsia"/>
        </w:rPr>
        <w:t>墙报展示将在国际交流中心二楼举行。请使用 A0 幅面纸张制作墙报（尺寸 841 × 1189 毫米）。研讨会组委会将在会议开始前向报告人发放墙报编号。墙报展板上会标注对应编号，请报告人按编号张贴墙报。组委会将提供用于固定墙报的图钉。制作墙报时，请选用清晰易读的字体。墙报需保证在 2–3 米距离可清晰阅读，即所有文字高度至少 8 毫米。图表线条的线宽最小为 1 毫米，请选用合适的色彩对比度。</w:t>
      </w:r>
    </w:p>
    <w:p w14:paraId="1F20F7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C83BD8"/>
    <w:rsid w:val="11C83BD8"/>
    <w:rsid w:val="3783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10" w:line="300" w:lineRule="auto"/>
    </w:pPr>
    <w:rPr>
      <w:rFonts w:ascii="Times New Roman" w:hAnsi="Times New Roman" w:eastAsia="宋体" w:cs="Times New Roman"/>
      <w:sz w:val="24"/>
      <w:szCs w:val="24"/>
      <w:lang w:val="en-GB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="0" w:afterAutospacing="1"/>
    </w:pPr>
    <w:rPr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731</Words>
  <Characters>2442</Characters>
  <Lines>0</Lines>
  <Paragraphs>0</Paragraphs>
  <TotalTime>0</TotalTime>
  <ScaleCrop>false</ScaleCrop>
  <LinksUpToDate>false</LinksUpToDate>
  <CharactersWithSpaces>2802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2026-09-20T00:47:00Z</dcterms:created>
  <dc:creator>ldz</dc:creator>
  <cp:lastModifiedBy>ldz</cp:lastModifiedBy>
  <dcterms:modified xsi:type="dcterms:W3CDTF">2026-09-20T00:58:15Z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74DC863D852E48F89C006E0232E2F7F4_11</vt:lpwstr>
  </property>
  <property fmtid="{D5CDD505-2E9C-101B-9397-08002B2CF9AE}" pid="4" name="KSOTemplateDocerSaveRecord">
    <vt:lpwstr>eyJoZGlkIjoiMTczYjcwMzg3M2QyYzFjMzg4MzliMTJmMTMwNzgyNmIiLCJ1c2VySWQiOiI0MDk5NzI4NDMifQ==</vt:lpwstr>
  </property>
</Properties>
</file>